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FC" w:rsidRDefault="007C7427" w:rsidP="001158D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Fast Track </w:t>
      </w:r>
      <w:r w:rsidR="00816FB7">
        <w:rPr>
          <w:b/>
          <w:sz w:val="32"/>
          <w:szCs w:val="32"/>
        </w:rPr>
        <w:t>Submission</w:t>
      </w:r>
      <w:r w:rsidR="00862EFC">
        <w:rPr>
          <w:b/>
          <w:sz w:val="32"/>
          <w:szCs w:val="32"/>
        </w:rPr>
        <w:t xml:space="preserve"> Checklist</w:t>
      </w:r>
      <w:r w:rsidR="00092D94">
        <w:rPr>
          <w:b/>
          <w:sz w:val="32"/>
          <w:szCs w:val="32"/>
        </w:rPr>
        <w:t xml:space="preserve"> for PHAs</w:t>
      </w:r>
    </w:p>
    <w:p w:rsidR="007828B1" w:rsidRDefault="007828B1" w:rsidP="001158DA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6"/>
      </w:tblGrid>
      <w:tr w:rsidR="007828B1" w:rsidTr="007828B1">
        <w:tc>
          <w:tcPr>
            <w:tcW w:w="11106" w:type="dxa"/>
          </w:tcPr>
          <w:p w:rsidR="007828B1" w:rsidRPr="001158DA" w:rsidRDefault="007828B1" w:rsidP="007828B1">
            <w:pPr>
              <w:jc w:val="center"/>
              <w:rPr>
                <w:b/>
                <w:sz w:val="12"/>
                <w:szCs w:val="12"/>
              </w:rPr>
            </w:pPr>
          </w:p>
          <w:p w:rsidR="007828B1" w:rsidRPr="00E44D77" w:rsidRDefault="007828B1" w:rsidP="007828B1">
            <w:pPr>
              <w:ind w:right="360"/>
              <w:rPr>
                <w:i/>
              </w:rPr>
            </w:pPr>
            <w:r w:rsidRPr="00E44D77">
              <w:rPr>
                <w:b/>
              </w:rPr>
              <w:t xml:space="preserve">INSTRUCTIONS: </w:t>
            </w:r>
            <w:r w:rsidR="00423C03">
              <w:rPr>
                <w:i/>
              </w:rPr>
              <w:t xml:space="preserve">The </w:t>
            </w:r>
            <w:r w:rsidRPr="00E44D77">
              <w:rPr>
                <w:i/>
              </w:rPr>
              <w:t xml:space="preserve">checklist </w:t>
            </w:r>
            <w:r w:rsidR="00423C03">
              <w:rPr>
                <w:i/>
              </w:rPr>
              <w:t xml:space="preserve">on the following page </w:t>
            </w:r>
            <w:r w:rsidRPr="00E44D77">
              <w:rPr>
                <w:i/>
              </w:rPr>
              <w:t>contains a list of all the required documents that the PHA must upload to the RAD Resource Desk (</w:t>
            </w:r>
            <w:hyperlink r:id="rId9" w:history="1">
              <w:r w:rsidRPr="00E44D77">
                <w:rPr>
                  <w:rStyle w:val="Hyperlink"/>
                  <w:i/>
                </w:rPr>
                <w:t>www.radresource.net</w:t>
              </w:r>
            </w:hyperlink>
            <w:r w:rsidRPr="00E44D77">
              <w:rPr>
                <w:i/>
              </w:rPr>
              <w:t xml:space="preserve">) within 60 days of receiving a tax credit award or allocation. </w:t>
            </w:r>
          </w:p>
          <w:p w:rsidR="007828B1" w:rsidRPr="00E44D77" w:rsidRDefault="007828B1" w:rsidP="007828B1">
            <w:pPr>
              <w:ind w:right="360"/>
              <w:rPr>
                <w:i/>
              </w:rPr>
            </w:pPr>
          </w:p>
          <w:p w:rsidR="007828B1" w:rsidRPr="00E44D77" w:rsidRDefault="007828B1" w:rsidP="007828B1">
            <w:pPr>
              <w:ind w:right="360"/>
              <w:rPr>
                <w:b/>
                <w:i/>
              </w:rPr>
            </w:pPr>
            <w:r w:rsidRPr="00E44D77">
              <w:rPr>
                <w:b/>
                <w:i/>
              </w:rPr>
              <w:t xml:space="preserve">This </w:t>
            </w:r>
            <w:r>
              <w:rPr>
                <w:b/>
                <w:i/>
              </w:rPr>
              <w:t xml:space="preserve">LIHTC </w:t>
            </w:r>
            <w:r w:rsidRPr="00E44D77">
              <w:rPr>
                <w:b/>
                <w:i/>
              </w:rPr>
              <w:t xml:space="preserve">Fast Track procedure replaces all milestones and certifications required prior to issuance of the RAD Conversion Commitment for properties using LIHTC equity and not using FHA financing.  A complete submission, </w:t>
            </w:r>
            <w:r>
              <w:rPr>
                <w:b/>
                <w:i/>
              </w:rPr>
              <w:t>including</w:t>
            </w:r>
            <w:r w:rsidRPr="00E44D77">
              <w:rPr>
                <w:b/>
                <w:i/>
              </w:rPr>
              <w:t xml:space="preserve"> all items on this checklist, will meet the 60-, 90-, 150- and 180-day milestones for the RAD program.  </w:t>
            </w:r>
          </w:p>
          <w:p w:rsidR="007828B1" w:rsidRPr="00E44D77" w:rsidRDefault="007828B1" w:rsidP="007828B1">
            <w:pPr>
              <w:ind w:right="360"/>
              <w:rPr>
                <w:i/>
              </w:rPr>
            </w:pPr>
          </w:p>
          <w:p w:rsidR="007828B1" w:rsidRDefault="007828B1" w:rsidP="007828B1">
            <w:pPr>
              <w:ind w:right="360"/>
              <w:rPr>
                <w:i/>
              </w:rPr>
            </w:pPr>
            <w:r w:rsidRPr="00E44D77">
              <w:rPr>
                <w:i/>
              </w:rPr>
              <w:t xml:space="preserve">The PHA should complete the right hand column using the checkboxes provided, and upload this checklist along with the required documents.  The checklist is divided into two parts- “Part 1: Underwriting Documents,” which are documents 1-9 and are required for all non-FHA LIHTC Fast Track transactions, and “Part 2: Administrative Program Requirements,” which are documents 10-14 and are required for all RAD conversions. </w:t>
            </w:r>
            <w:r>
              <w:rPr>
                <w:i/>
              </w:rPr>
              <w:t xml:space="preserve">Any questions should be directed to your assigned RAD Transaction Manager or </w:t>
            </w:r>
            <w:hyperlink r:id="rId10" w:history="1">
              <w:r w:rsidRPr="00A268AD">
                <w:rPr>
                  <w:rStyle w:val="Hyperlink"/>
                  <w:i/>
                </w:rPr>
                <w:t>resourcedesk@radresource.net</w:t>
              </w:r>
            </w:hyperlink>
            <w:r>
              <w:rPr>
                <w:i/>
              </w:rPr>
              <w:t xml:space="preserve">. </w:t>
            </w:r>
          </w:p>
          <w:p w:rsidR="0085396F" w:rsidRDefault="0085396F" w:rsidP="007828B1">
            <w:pPr>
              <w:ind w:right="360"/>
              <w:rPr>
                <w:i/>
              </w:rPr>
            </w:pPr>
          </w:p>
          <w:p w:rsidR="0085396F" w:rsidRPr="00E44D77" w:rsidRDefault="0085396F" w:rsidP="0085396F">
            <w:pPr>
              <w:pStyle w:val="ListParagraph"/>
              <w:numPr>
                <w:ilvl w:val="0"/>
                <w:numId w:val="12"/>
              </w:numPr>
              <w:ind w:right="360"/>
              <w:rPr>
                <w:i/>
              </w:rPr>
            </w:pPr>
            <w:r w:rsidRPr="00E44D77">
              <w:rPr>
                <w:b/>
                <w:i/>
              </w:rPr>
              <w:t>This checklist, and the accompanying documents, must be uploaded within 60 days of receipt of the LIHTC award or allocation from the state allocating agency.</w:t>
            </w:r>
            <w:r w:rsidRPr="00E44D77">
              <w:rPr>
                <w:i/>
              </w:rPr>
              <w:t xml:space="preserve">  </w:t>
            </w:r>
          </w:p>
          <w:p w:rsidR="0085396F" w:rsidRPr="00E44D77" w:rsidRDefault="0085396F" w:rsidP="0085396F">
            <w:pPr>
              <w:pStyle w:val="ListParagraph"/>
              <w:numPr>
                <w:ilvl w:val="0"/>
                <w:numId w:val="12"/>
              </w:numPr>
              <w:ind w:right="360"/>
              <w:rPr>
                <w:i/>
              </w:rPr>
            </w:pPr>
            <w:r w:rsidRPr="00E44D77">
              <w:rPr>
                <w:i/>
              </w:rPr>
              <w:t xml:space="preserve">The PHA may request an extension of this 60-day deadline, of up to an additional 120 days, </w:t>
            </w:r>
            <w:r w:rsidRPr="00E44D77">
              <w:rPr>
                <w:i/>
                <w:u w:val="single"/>
              </w:rPr>
              <w:t>with respect to the Underwriting Documents only</w:t>
            </w:r>
            <w:r w:rsidRPr="00E44D77">
              <w:rPr>
                <w:i/>
              </w:rPr>
              <w:t xml:space="preserve">.  Extension requests should be submitted, in writing, to your RAD </w:t>
            </w:r>
            <w:r>
              <w:rPr>
                <w:i/>
              </w:rPr>
              <w:t xml:space="preserve">Transaction Manager.  The Transaction Manager will amend the submission deadline accordingly. </w:t>
            </w:r>
          </w:p>
          <w:p w:rsidR="0085396F" w:rsidRPr="00E44D77" w:rsidRDefault="0085396F" w:rsidP="0085396F">
            <w:pPr>
              <w:pStyle w:val="ListParagraph"/>
              <w:numPr>
                <w:ilvl w:val="0"/>
                <w:numId w:val="12"/>
              </w:numPr>
              <w:ind w:right="360"/>
              <w:rPr>
                <w:i/>
              </w:rPr>
            </w:pPr>
            <w:r w:rsidRPr="00E44D77">
              <w:rPr>
                <w:i/>
              </w:rPr>
              <w:t xml:space="preserve">Please submit the Administrative Program Requirement documents, along with this checklist as soon as possible, and no later than 60 days after receiving </w:t>
            </w:r>
            <w:r>
              <w:rPr>
                <w:i/>
              </w:rPr>
              <w:t>the LIHTC award or allocation, to allow HUD sufficient time to complete our internal processing.</w:t>
            </w:r>
          </w:p>
          <w:p w:rsidR="0085396F" w:rsidRPr="00E44D77" w:rsidRDefault="0085396F" w:rsidP="0085396F">
            <w:pPr>
              <w:pStyle w:val="ListParagraph"/>
              <w:numPr>
                <w:ilvl w:val="0"/>
                <w:numId w:val="12"/>
              </w:numPr>
              <w:ind w:right="360"/>
              <w:rPr>
                <w:i/>
              </w:rPr>
            </w:pPr>
            <w:r w:rsidRPr="00E44D77">
              <w:rPr>
                <w:i/>
              </w:rPr>
              <w:t xml:space="preserve">HUD will review only substantially complete submissions.   </w:t>
            </w:r>
          </w:p>
          <w:p w:rsidR="0085396F" w:rsidRDefault="0085396F" w:rsidP="007828B1">
            <w:pPr>
              <w:ind w:right="360"/>
              <w:rPr>
                <w:b/>
                <w:sz w:val="32"/>
                <w:szCs w:val="32"/>
              </w:rPr>
            </w:pPr>
          </w:p>
        </w:tc>
      </w:tr>
    </w:tbl>
    <w:p w:rsidR="007828B1" w:rsidRDefault="007828B1" w:rsidP="001158DA">
      <w:pPr>
        <w:spacing w:after="0" w:line="240" w:lineRule="auto"/>
        <w:jc w:val="center"/>
        <w:rPr>
          <w:b/>
          <w:sz w:val="32"/>
          <w:szCs w:val="32"/>
        </w:rPr>
      </w:pPr>
    </w:p>
    <w:p w:rsidR="004F6A03" w:rsidRDefault="004F6A03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85396F" w:rsidRDefault="0085396F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p w:rsidR="007828B1" w:rsidRDefault="007828B1" w:rsidP="00C02534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956"/>
        <w:gridCol w:w="2434"/>
        <w:gridCol w:w="1350"/>
        <w:gridCol w:w="2340"/>
      </w:tblGrid>
      <w:tr w:rsidR="00862EFC" w:rsidRPr="001158DA" w:rsidTr="00E514BA">
        <w:trPr>
          <w:tblHeader/>
        </w:trPr>
        <w:tc>
          <w:tcPr>
            <w:tcW w:w="558" w:type="dxa"/>
            <w:shd w:val="clear" w:color="auto" w:fill="000000" w:themeFill="text1"/>
          </w:tcPr>
          <w:p w:rsidR="00862EFC" w:rsidRPr="001158DA" w:rsidRDefault="00862EFC" w:rsidP="000A7353">
            <w:pPr>
              <w:jc w:val="center"/>
              <w:rPr>
                <w:b/>
              </w:rPr>
            </w:pPr>
            <w:r w:rsidRPr="001158DA">
              <w:rPr>
                <w:b/>
              </w:rPr>
              <w:lastRenderedPageBreak/>
              <w:t>No.</w:t>
            </w:r>
          </w:p>
        </w:tc>
        <w:tc>
          <w:tcPr>
            <w:tcW w:w="3956" w:type="dxa"/>
            <w:shd w:val="clear" w:color="auto" w:fill="000000" w:themeFill="text1"/>
          </w:tcPr>
          <w:p w:rsidR="00862EFC" w:rsidRPr="001158DA" w:rsidRDefault="00862EFC" w:rsidP="000A7353">
            <w:pPr>
              <w:jc w:val="center"/>
              <w:rPr>
                <w:b/>
              </w:rPr>
            </w:pPr>
            <w:r w:rsidRPr="001158DA">
              <w:rPr>
                <w:b/>
              </w:rPr>
              <w:t>Item Name</w:t>
            </w:r>
          </w:p>
        </w:tc>
        <w:tc>
          <w:tcPr>
            <w:tcW w:w="2434" w:type="dxa"/>
            <w:shd w:val="clear" w:color="auto" w:fill="000000" w:themeFill="text1"/>
          </w:tcPr>
          <w:p w:rsidR="00862EFC" w:rsidRPr="001158DA" w:rsidRDefault="001158DA" w:rsidP="000A7353">
            <w:pPr>
              <w:jc w:val="center"/>
              <w:rPr>
                <w:b/>
              </w:rPr>
            </w:pPr>
            <w:r w:rsidRPr="001158DA">
              <w:rPr>
                <w:b/>
              </w:rPr>
              <w:t xml:space="preserve">                       </w:t>
            </w:r>
            <w:r w:rsidR="00862EFC" w:rsidRPr="001158DA">
              <w:rPr>
                <w:b/>
              </w:rPr>
              <w:t>Description</w:t>
            </w:r>
          </w:p>
        </w:tc>
        <w:tc>
          <w:tcPr>
            <w:tcW w:w="3690" w:type="dxa"/>
            <w:gridSpan w:val="2"/>
            <w:shd w:val="clear" w:color="auto" w:fill="000000" w:themeFill="text1"/>
          </w:tcPr>
          <w:p w:rsidR="00862EFC" w:rsidRPr="001158DA" w:rsidRDefault="001158DA" w:rsidP="000A7353">
            <w:pPr>
              <w:jc w:val="center"/>
              <w:rPr>
                <w:b/>
              </w:rPr>
            </w:pPr>
            <w:r w:rsidRPr="001158DA">
              <w:rPr>
                <w:b/>
              </w:rPr>
              <w:t xml:space="preserve">                         </w:t>
            </w:r>
            <w:r w:rsidR="00E86FC5" w:rsidRPr="001158DA">
              <w:rPr>
                <w:b/>
              </w:rPr>
              <w:t>Included?</w:t>
            </w:r>
          </w:p>
        </w:tc>
      </w:tr>
      <w:tr w:rsidR="007E653C" w:rsidRPr="001158DA" w:rsidTr="00E514BA">
        <w:tc>
          <w:tcPr>
            <w:tcW w:w="10638" w:type="dxa"/>
            <w:gridSpan w:val="5"/>
            <w:shd w:val="clear" w:color="auto" w:fill="D9D9D9" w:themeFill="background1" w:themeFillShade="D9"/>
          </w:tcPr>
          <w:p w:rsidR="005A41D7" w:rsidRPr="005A41D7" w:rsidRDefault="00E74A11" w:rsidP="005A41D7">
            <w:pPr>
              <w:jc w:val="center"/>
              <w:rPr>
                <w:b/>
                <w:sz w:val="24"/>
                <w:szCs w:val="24"/>
              </w:rPr>
            </w:pPr>
            <w:r w:rsidRPr="005A41D7">
              <w:rPr>
                <w:b/>
                <w:sz w:val="24"/>
                <w:szCs w:val="24"/>
              </w:rPr>
              <w:t xml:space="preserve">Part 1: </w:t>
            </w:r>
            <w:r w:rsidR="00132350" w:rsidRPr="005A41D7">
              <w:rPr>
                <w:b/>
                <w:sz w:val="24"/>
                <w:szCs w:val="24"/>
              </w:rPr>
              <w:t>Underwriting</w:t>
            </w:r>
            <w:r w:rsidR="007E653C" w:rsidRPr="005A41D7">
              <w:rPr>
                <w:b/>
                <w:sz w:val="24"/>
                <w:szCs w:val="24"/>
              </w:rPr>
              <w:t xml:space="preserve"> Documents</w:t>
            </w:r>
          </w:p>
        </w:tc>
      </w:tr>
      <w:tr w:rsidR="00862EFC" w:rsidRPr="001158DA" w:rsidTr="001158DA">
        <w:tc>
          <w:tcPr>
            <w:tcW w:w="558" w:type="dxa"/>
          </w:tcPr>
          <w:p w:rsidR="00862EFC" w:rsidRPr="001158DA" w:rsidRDefault="00862EFC" w:rsidP="00862EFC">
            <w:pPr>
              <w:jc w:val="center"/>
              <w:rPr>
                <w:b/>
              </w:rPr>
            </w:pPr>
            <w:r w:rsidRPr="001158DA">
              <w:rPr>
                <w:b/>
              </w:rPr>
              <w:t>1</w:t>
            </w:r>
          </w:p>
        </w:tc>
        <w:tc>
          <w:tcPr>
            <w:tcW w:w="3956" w:type="dxa"/>
          </w:tcPr>
          <w:p w:rsidR="00862EFC" w:rsidRPr="001158DA" w:rsidRDefault="00862EFC" w:rsidP="00E52C42">
            <w:pPr>
              <w:rPr>
                <w:b/>
              </w:rPr>
            </w:pPr>
            <w:r w:rsidRPr="001158DA">
              <w:rPr>
                <w:b/>
              </w:rPr>
              <w:t xml:space="preserve">Conversion Overview </w:t>
            </w:r>
            <w:r w:rsidR="00243492" w:rsidRPr="001158DA">
              <w:rPr>
                <w:b/>
              </w:rPr>
              <w:t>Template</w:t>
            </w:r>
          </w:p>
        </w:tc>
        <w:tc>
          <w:tcPr>
            <w:tcW w:w="3784" w:type="dxa"/>
            <w:gridSpan w:val="2"/>
          </w:tcPr>
          <w:p w:rsidR="00862EFC" w:rsidRPr="001158DA" w:rsidRDefault="00B136F0" w:rsidP="00B136F0">
            <w:pPr>
              <w:rPr>
                <w:i/>
              </w:rPr>
            </w:pPr>
            <w:r w:rsidRPr="001158DA">
              <w:rPr>
                <w:i/>
              </w:rPr>
              <w:t xml:space="preserve">Complete using the prescribed template </w:t>
            </w:r>
            <w:r w:rsidR="000A7353" w:rsidRPr="001158DA">
              <w:rPr>
                <w:i/>
              </w:rPr>
              <w:t xml:space="preserve">available on </w:t>
            </w:r>
            <w:hyperlink r:id="rId11" w:history="1">
              <w:r w:rsidR="000A7353" w:rsidRPr="001158DA">
                <w:rPr>
                  <w:rStyle w:val="Hyperlink"/>
                  <w:i/>
                </w:rPr>
                <w:t>www.radresource.net</w:t>
              </w:r>
            </w:hyperlink>
            <w:r w:rsidR="000A7353" w:rsidRPr="001158DA">
              <w:rPr>
                <w:i/>
              </w:rPr>
              <w:t xml:space="preserve"> </w:t>
            </w:r>
          </w:p>
        </w:tc>
        <w:tc>
          <w:tcPr>
            <w:tcW w:w="2340" w:type="dxa"/>
          </w:tcPr>
          <w:p w:rsidR="00862EFC" w:rsidRPr="001158DA" w:rsidRDefault="0040372B" w:rsidP="00E52C42">
            <w:sdt>
              <w:sdtPr>
                <w:id w:val="180642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42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C42" w:rsidRPr="001158DA">
              <w:t>Yes</w:t>
            </w:r>
          </w:p>
          <w:p w:rsidR="00E52C42" w:rsidRPr="001158DA" w:rsidRDefault="0040372B" w:rsidP="00E52C42">
            <w:sdt>
              <w:sdtPr>
                <w:id w:val="-180546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42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C42" w:rsidRPr="001158DA">
              <w:t>No</w:t>
            </w:r>
          </w:p>
        </w:tc>
      </w:tr>
      <w:tr w:rsidR="00E52C42" w:rsidRPr="001158DA" w:rsidTr="001158DA">
        <w:trPr>
          <w:trHeight w:val="593"/>
        </w:trPr>
        <w:tc>
          <w:tcPr>
            <w:tcW w:w="558" w:type="dxa"/>
          </w:tcPr>
          <w:p w:rsidR="00E52C42" w:rsidRPr="001158DA" w:rsidRDefault="00E45B0D" w:rsidP="00862EFC">
            <w:pPr>
              <w:jc w:val="center"/>
              <w:rPr>
                <w:b/>
              </w:rPr>
            </w:pPr>
            <w:r w:rsidRPr="001158DA">
              <w:rPr>
                <w:b/>
              </w:rPr>
              <w:t>2</w:t>
            </w:r>
          </w:p>
        </w:tc>
        <w:tc>
          <w:tcPr>
            <w:tcW w:w="3956" w:type="dxa"/>
          </w:tcPr>
          <w:p w:rsidR="00090F17" w:rsidRPr="001158DA" w:rsidRDefault="007E653C" w:rsidP="00090F17">
            <w:r w:rsidRPr="001158DA">
              <w:rPr>
                <w:b/>
              </w:rPr>
              <w:t xml:space="preserve">Experience &amp; Structure of </w:t>
            </w:r>
            <w:r w:rsidR="00090F17" w:rsidRPr="001158DA">
              <w:rPr>
                <w:b/>
              </w:rPr>
              <w:t xml:space="preserve">Development Team: </w:t>
            </w:r>
            <w:r w:rsidR="00090F17" w:rsidRPr="001158DA">
              <w:t>Submit the following items for the Ownership entity, Management Agent and Development Partner (as applicable)</w:t>
            </w:r>
            <w:r w:rsidR="00E44D77">
              <w:t xml:space="preserve">.  </w:t>
            </w:r>
            <w:r w:rsidR="00E44D77" w:rsidRPr="005A41D7">
              <w:rPr>
                <w:u w:val="single"/>
              </w:rPr>
              <w:t>Additional background information is not required.</w:t>
            </w:r>
            <w:r w:rsidR="00E44D77">
              <w:t xml:space="preserve"> </w:t>
            </w:r>
          </w:p>
          <w:p w:rsidR="001E5D1B" w:rsidRPr="001158DA" w:rsidRDefault="00090F17" w:rsidP="00090F17">
            <w:pPr>
              <w:pStyle w:val="ListParagraph"/>
              <w:numPr>
                <w:ilvl w:val="0"/>
                <w:numId w:val="11"/>
              </w:numPr>
            </w:pPr>
            <w:r w:rsidRPr="001158DA">
              <w:t>Organizational Chart</w:t>
            </w:r>
          </w:p>
          <w:p w:rsidR="001E5D1B" w:rsidRPr="001158DA" w:rsidRDefault="00090F17" w:rsidP="00090F17">
            <w:pPr>
              <w:pStyle w:val="ListParagraph"/>
              <w:numPr>
                <w:ilvl w:val="0"/>
                <w:numId w:val="11"/>
              </w:numPr>
            </w:pPr>
            <w:r w:rsidRPr="001158DA">
              <w:t>Narrative d</w:t>
            </w:r>
            <w:r w:rsidR="001E5D1B" w:rsidRPr="001158DA">
              <w:t xml:space="preserve">escription </w:t>
            </w:r>
            <w:r w:rsidRPr="001158DA">
              <w:t>for each entity:</w:t>
            </w:r>
          </w:p>
          <w:p w:rsidR="00090F17" w:rsidRPr="001158DA" w:rsidRDefault="00090F17" w:rsidP="00090F17">
            <w:pPr>
              <w:pStyle w:val="ListParagraph"/>
              <w:numPr>
                <w:ilvl w:val="1"/>
                <w:numId w:val="11"/>
              </w:numPr>
            </w:pPr>
            <w:r w:rsidRPr="001158DA">
              <w:t>Name of Entity</w:t>
            </w:r>
          </w:p>
          <w:p w:rsidR="00090F17" w:rsidRPr="001158DA" w:rsidRDefault="00090F17" w:rsidP="00090F17">
            <w:pPr>
              <w:pStyle w:val="ListParagraph"/>
              <w:numPr>
                <w:ilvl w:val="1"/>
                <w:numId w:val="11"/>
              </w:numPr>
            </w:pPr>
            <w:r w:rsidRPr="001158DA">
              <w:t>Role in the transaction</w:t>
            </w:r>
          </w:p>
          <w:p w:rsidR="00090F17" w:rsidRPr="001158DA" w:rsidRDefault="00090F17" w:rsidP="00090F17">
            <w:pPr>
              <w:pStyle w:val="ListParagraph"/>
              <w:numPr>
                <w:ilvl w:val="1"/>
                <w:numId w:val="11"/>
              </w:numPr>
            </w:pPr>
            <w:r w:rsidRPr="001158DA">
              <w:t>Description of relevant experience</w:t>
            </w:r>
          </w:p>
        </w:tc>
        <w:tc>
          <w:tcPr>
            <w:tcW w:w="3784" w:type="dxa"/>
            <w:gridSpan w:val="2"/>
          </w:tcPr>
          <w:p w:rsidR="00E52C42" w:rsidRPr="001158DA" w:rsidRDefault="00E52C42" w:rsidP="00B136F0">
            <w:pPr>
              <w:rPr>
                <w:i/>
              </w:rPr>
            </w:pPr>
          </w:p>
        </w:tc>
        <w:tc>
          <w:tcPr>
            <w:tcW w:w="2340" w:type="dxa"/>
          </w:tcPr>
          <w:p w:rsidR="00E52C42" w:rsidRPr="001158DA" w:rsidRDefault="0040372B" w:rsidP="00E52C42">
            <w:sdt>
              <w:sdtPr>
                <w:id w:val="-18229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42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C42" w:rsidRPr="001158DA">
              <w:t>Yes</w:t>
            </w:r>
          </w:p>
          <w:p w:rsidR="00E52C42" w:rsidRPr="001158DA" w:rsidRDefault="0040372B" w:rsidP="00E52C42">
            <w:sdt>
              <w:sdtPr>
                <w:id w:val="-106996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42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C42" w:rsidRPr="001158DA">
              <w:t>No</w:t>
            </w:r>
          </w:p>
        </w:tc>
      </w:tr>
      <w:tr w:rsidR="00E52C42" w:rsidRPr="001158DA" w:rsidTr="001158DA">
        <w:tc>
          <w:tcPr>
            <w:tcW w:w="558" w:type="dxa"/>
          </w:tcPr>
          <w:p w:rsidR="00E52C42" w:rsidRPr="001158DA" w:rsidRDefault="00E45B0D" w:rsidP="00862EFC">
            <w:pPr>
              <w:jc w:val="center"/>
              <w:rPr>
                <w:b/>
              </w:rPr>
            </w:pPr>
            <w:r w:rsidRPr="001158DA">
              <w:rPr>
                <w:b/>
              </w:rPr>
              <w:t>3</w:t>
            </w:r>
          </w:p>
        </w:tc>
        <w:tc>
          <w:tcPr>
            <w:tcW w:w="3956" w:type="dxa"/>
          </w:tcPr>
          <w:p w:rsidR="00E52C42" w:rsidRPr="001158DA" w:rsidRDefault="00E52C42" w:rsidP="00E86FC5">
            <w:pPr>
              <w:rPr>
                <w:b/>
              </w:rPr>
            </w:pPr>
            <w:r w:rsidRPr="001158DA">
              <w:rPr>
                <w:b/>
              </w:rPr>
              <w:t>LIHTC Award/Allocation Letter from Credit Issuing Authority</w:t>
            </w:r>
          </w:p>
        </w:tc>
        <w:tc>
          <w:tcPr>
            <w:tcW w:w="3784" w:type="dxa"/>
            <w:gridSpan w:val="2"/>
          </w:tcPr>
          <w:p w:rsidR="00E52C42" w:rsidRPr="001158DA" w:rsidRDefault="00E52C42" w:rsidP="00B136F0">
            <w:pPr>
              <w:rPr>
                <w:i/>
              </w:rPr>
            </w:pPr>
          </w:p>
        </w:tc>
        <w:tc>
          <w:tcPr>
            <w:tcW w:w="2340" w:type="dxa"/>
          </w:tcPr>
          <w:p w:rsidR="00E52C42" w:rsidRPr="001158DA" w:rsidRDefault="0040372B" w:rsidP="00E52C42">
            <w:sdt>
              <w:sdtPr>
                <w:id w:val="-214194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42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C42" w:rsidRPr="001158DA">
              <w:t>Yes</w:t>
            </w:r>
          </w:p>
          <w:p w:rsidR="00E52C42" w:rsidRPr="001158DA" w:rsidRDefault="0040372B" w:rsidP="00E52C42">
            <w:sdt>
              <w:sdtPr>
                <w:id w:val="-196279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42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C42" w:rsidRPr="001158DA">
              <w:t>No</w:t>
            </w:r>
          </w:p>
        </w:tc>
      </w:tr>
      <w:tr w:rsidR="00E52C42" w:rsidRPr="001158DA" w:rsidTr="001158DA">
        <w:tc>
          <w:tcPr>
            <w:tcW w:w="558" w:type="dxa"/>
          </w:tcPr>
          <w:p w:rsidR="00E52C42" w:rsidRPr="001158DA" w:rsidRDefault="00E45B0D" w:rsidP="00862EFC">
            <w:pPr>
              <w:jc w:val="center"/>
              <w:rPr>
                <w:b/>
              </w:rPr>
            </w:pPr>
            <w:r w:rsidRPr="001158DA">
              <w:rPr>
                <w:b/>
              </w:rPr>
              <w:t>4</w:t>
            </w:r>
          </w:p>
        </w:tc>
        <w:tc>
          <w:tcPr>
            <w:tcW w:w="3956" w:type="dxa"/>
          </w:tcPr>
          <w:p w:rsidR="00BF0092" w:rsidRPr="001158DA" w:rsidRDefault="00BF0092" w:rsidP="00BF0092">
            <w:r w:rsidRPr="001158DA">
              <w:rPr>
                <w:b/>
              </w:rPr>
              <w:t>Funding Commitments</w:t>
            </w:r>
            <w:r w:rsidRPr="001158DA">
              <w:t>:</w:t>
            </w:r>
          </w:p>
          <w:p w:rsidR="00E52C42" w:rsidRPr="001158DA" w:rsidRDefault="00E52C42" w:rsidP="00E86FC5">
            <w:pPr>
              <w:pStyle w:val="ListParagraph"/>
              <w:numPr>
                <w:ilvl w:val="0"/>
                <w:numId w:val="3"/>
              </w:numPr>
            </w:pPr>
            <w:r w:rsidRPr="001158DA">
              <w:t>Commitment from First Mortgage Lender</w:t>
            </w:r>
          </w:p>
          <w:p w:rsidR="00E44D77" w:rsidRPr="001158DA" w:rsidRDefault="006B5875" w:rsidP="00E44D77">
            <w:pPr>
              <w:pStyle w:val="ListParagraph"/>
              <w:numPr>
                <w:ilvl w:val="0"/>
                <w:numId w:val="3"/>
              </w:numPr>
            </w:pPr>
            <w:r w:rsidRPr="001158DA">
              <w:t>Commitment(s) from all secondary funding sources</w:t>
            </w:r>
          </w:p>
        </w:tc>
        <w:tc>
          <w:tcPr>
            <w:tcW w:w="3784" w:type="dxa"/>
            <w:gridSpan w:val="2"/>
          </w:tcPr>
          <w:p w:rsidR="00E52C42" w:rsidRPr="001158DA" w:rsidRDefault="00E52C42" w:rsidP="00B136F0">
            <w:pPr>
              <w:rPr>
                <w:i/>
              </w:rPr>
            </w:pPr>
          </w:p>
        </w:tc>
        <w:tc>
          <w:tcPr>
            <w:tcW w:w="2340" w:type="dxa"/>
          </w:tcPr>
          <w:p w:rsidR="00E52C42" w:rsidRPr="001158DA" w:rsidRDefault="0040372B" w:rsidP="00E52C42">
            <w:sdt>
              <w:sdtPr>
                <w:id w:val="-80993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42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C42" w:rsidRPr="001158DA">
              <w:t>Yes</w:t>
            </w:r>
          </w:p>
          <w:p w:rsidR="00E52C42" w:rsidRPr="001158DA" w:rsidRDefault="0040372B" w:rsidP="00E52C42">
            <w:sdt>
              <w:sdtPr>
                <w:id w:val="129009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42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2C42" w:rsidRPr="001158DA">
              <w:t>No</w:t>
            </w:r>
          </w:p>
        </w:tc>
      </w:tr>
      <w:tr w:rsidR="00092D94" w:rsidRPr="001158DA" w:rsidTr="001158DA">
        <w:tc>
          <w:tcPr>
            <w:tcW w:w="558" w:type="dxa"/>
          </w:tcPr>
          <w:p w:rsidR="00092D94" w:rsidRPr="001158DA" w:rsidRDefault="007E653C" w:rsidP="00862EFC">
            <w:pPr>
              <w:jc w:val="center"/>
              <w:rPr>
                <w:b/>
              </w:rPr>
            </w:pPr>
            <w:r w:rsidRPr="001158DA">
              <w:rPr>
                <w:b/>
              </w:rPr>
              <w:t>5</w:t>
            </w:r>
          </w:p>
        </w:tc>
        <w:tc>
          <w:tcPr>
            <w:tcW w:w="3956" w:type="dxa"/>
          </w:tcPr>
          <w:p w:rsidR="00092D94" w:rsidRPr="001158DA" w:rsidRDefault="00092D94" w:rsidP="00E86FC5">
            <w:pPr>
              <w:rPr>
                <w:b/>
              </w:rPr>
            </w:pPr>
            <w:r w:rsidRPr="001158DA">
              <w:rPr>
                <w:b/>
              </w:rPr>
              <w:t>Completed RAD Physical Conditional Assessment (RPCA) Excel Tool</w:t>
            </w:r>
          </w:p>
          <w:p w:rsidR="001E5D1B" w:rsidRPr="001158DA" w:rsidRDefault="001E5D1B" w:rsidP="00243492">
            <w:r w:rsidRPr="001158DA">
              <w:t xml:space="preserve">(Note: </w:t>
            </w:r>
            <w:r w:rsidR="00243492" w:rsidRPr="001158DA">
              <w:t>O</w:t>
            </w:r>
            <w:r w:rsidRPr="001158DA">
              <w:t xml:space="preserve">nly the completed tool is required, not the full </w:t>
            </w:r>
            <w:r w:rsidR="007E653C" w:rsidRPr="001158DA">
              <w:t>R</w:t>
            </w:r>
            <w:r w:rsidR="00E44D77">
              <w:t>PCA Scope of Work.  Submission of plans and specifications is not required.)</w:t>
            </w:r>
          </w:p>
        </w:tc>
        <w:tc>
          <w:tcPr>
            <w:tcW w:w="3784" w:type="dxa"/>
            <w:gridSpan w:val="2"/>
          </w:tcPr>
          <w:p w:rsidR="00092D94" w:rsidRPr="001158DA" w:rsidRDefault="00092D94" w:rsidP="00B136F0">
            <w:pPr>
              <w:rPr>
                <w:i/>
              </w:rPr>
            </w:pPr>
            <w:r w:rsidRPr="001158DA">
              <w:rPr>
                <w:i/>
              </w:rPr>
              <w:t xml:space="preserve">Excel tool available for download at </w:t>
            </w:r>
            <w:hyperlink r:id="rId12" w:history="1">
              <w:r w:rsidR="001158DA" w:rsidRPr="001158DA">
                <w:rPr>
                  <w:rStyle w:val="Hyperlink"/>
                  <w:i/>
                </w:rPr>
                <w:t>www.radresource.net</w:t>
              </w:r>
            </w:hyperlink>
            <w:r w:rsidR="001158DA" w:rsidRPr="001158DA">
              <w:rPr>
                <w:i/>
              </w:rPr>
              <w:t xml:space="preserve"> </w:t>
            </w:r>
          </w:p>
        </w:tc>
        <w:tc>
          <w:tcPr>
            <w:tcW w:w="2340" w:type="dxa"/>
          </w:tcPr>
          <w:p w:rsidR="00092D94" w:rsidRPr="001158DA" w:rsidRDefault="0040372B" w:rsidP="00092D94">
            <w:sdt>
              <w:sdtPr>
                <w:id w:val="8181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D94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D94" w:rsidRPr="001158DA">
              <w:t>Yes</w:t>
            </w:r>
          </w:p>
          <w:p w:rsidR="00092D94" w:rsidRPr="001158DA" w:rsidRDefault="0040372B" w:rsidP="00092D94">
            <w:sdt>
              <w:sdtPr>
                <w:id w:val="3890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D94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D94" w:rsidRPr="001158DA">
              <w:t>No</w:t>
            </w:r>
          </w:p>
          <w:p w:rsidR="00092D94" w:rsidRPr="001158DA" w:rsidRDefault="00092D94" w:rsidP="00092D94">
            <w:bookmarkStart w:id="0" w:name="_GoBack"/>
            <w:bookmarkEnd w:id="0"/>
          </w:p>
        </w:tc>
      </w:tr>
      <w:tr w:rsidR="00132350" w:rsidRPr="001158DA" w:rsidTr="001158DA">
        <w:tc>
          <w:tcPr>
            <w:tcW w:w="558" w:type="dxa"/>
          </w:tcPr>
          <w:p w:rsidR="00132350" w:rsidRPr="001158DA" w:rsidRDefault="00132350" w:rsidP="0060484B">
            <w:pPr>
              <w:jc w:val="center"/>
              <w:rPr>
                <w:b/>
              </w:rPr>
            </w:pPr>
            <w:r w:rsidRPr="001158DA">
              <w:rPr>
                <w:b/>
              </w:rPr>
              <w:t>6</w:t>
            </w:r>
          </w:p>
        </w:tc>
        <w:tc>
          <w:tcPr>
            <w:tcW w:w="3956" w:type="dxa"/>
          </w:tcPr>
          <w:p w:rsidR="00132350" w:rsidRPr="001158DA" w:rsidRDefault="00132350" w:rsidP="0060484B">
            <w:r w:rsidRPr="001158DA">
              <w:rPr>
                <w:b/>
              </w:rPr>
              <w:t>Environmental Review</w:t>
            </w:r>
            <w:r w:rsidRPr="001158DA">
              <w:t>:</w:t>
            </w:r>
          </w:p>
          <w:p w:rsidR="00132350" w:rsidRPr="001158DA" w:rsidRDefault="00132350" w:rsidP="0060484B">
            <w:pPr>
              <w:pStyle w:val="ListParagraph"/>
              <w:numPr>
                <w:ilvl w:val="0"/>
                <w:numId w:val="8"/>
              </w:numPr>
            </w:pPr>
            <w:r w:rsidRPr="001158DA">
              <w:t>PBV: Submit completed Part 58 Environmental Review  from Responsible Entity</w:t>
            </w:r>
          </w:p>
          <w:p w:rsidR="001158DA" w:rsidRPr="001158DA" w:rsidRDefault="00132350" w:rsidP="007828B1">
            <w:pPr>
              <w:pStyle w:val="ListParagraph"/>
              <w:numPr>
                <w:ilvl w:val="0"/>
                <w:numId w:val="8"/>
              </w:numPr>
            </w:pPr>
            <w:r w:rsidRPr="001158DA">
              <w:t>PBRA: Submit Phase 1 Environmental Review for HUD to complete Part 50 Review</w:t>
            </w:r>
          </w:p>
        </w:tc>
        <w:tc>
          <w:tcPr>
            <w:tcW w:w="3784" w:type="dxa"/>
            <w:gridSpan w:val="2"/>
          </w:tcPr>
          <w:p w:rsidR="00132350" w:rsidRPr="001158DA" w:rsidRDefault="00132350" w:rsidP="0060484B">
            <w:pPr>
              <w:rPr>
                <w:i/>
              </w:rPr>
            </w:pPr>
            <w:r w:rsidRPr="001158DA">
              <w:rPr>
                <w:i/>
              </w:rPr>
              <w:t>If converting to PBV and the Responsible Entity (RE) is unable to complete a Part 58 review, submit a Phase 1 and HUD will perform a Part 50 review.</w:t>
            </w:r>
          </w:p>
        </w:tc>
        <w:tc>
          <w:tcPr>
            <w:tcW w:w="2340" w:type="dxa"/>
          </w:tcPr>
          <w:p w:rsidR="00132350" w:rsidRPr="001158DA" w:rsidRDefault="0040372B" w:rsidP="0060484B">
            <w:sdt>
              <w:sdtPr>
                <w:id w:val="1081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50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350" w:rsidRPr="001158DA">
              <w:t>Yes</w:t>
            </w:r>
          </w:p>
          <w:p w:rsidR="00132350" w:rsidRPr="001158DA" w:rsidRDefault="0040372B" w:rsidP="0060484B">
            <w:sdt>
              <w:sdtPr>
                <w:id w:val="-39250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50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350" w:rsidRPr="001158DA">
              <w:t>No</w:t>
            </w:r>
          </w:p>
          <w:p w:rsidR="00132350" w:rsidRPr="001158DA" w:rsidRDefault="00132350" w:rsidP="0060484B"/>
        </w:tc>
      </w:tr>
      <w:tr w:rsidR="00E45B0D" w:rsidRPr="001158DA" w:rsidTr="001158DA">
        <w:tc>
          <w:tcPr>
            <w:tcW w:w="558" w:type="dxa"/>
          </w:tcPr>
          <w:p w:rsidR="00E45B0D" w:rsidRPr="001158DA" w:rsidRDefault="00132350" w:rsidP="00AD386F">
            <w:pPr>
              <w:jc w:val="center"/>
              <w:rPr>
                <w:b/>
              </w:rPr>
            </w:pPr>
            <w:r w:rsidRPr="001158DA">
              <w:rPr>
                <w:b/>
              </w:rPr>
              <w:t>7</w:t>
            </w:r>
          </w:p>
        </w:tc>
        <w:tc>
          <w:tcPr>
            <w:tcW w:w="3956" w:type="dxa"/>
          </w:tcPr>
          <w:p w:rsidR="00E45B0D" w:rsidRPr="001158DA" w:rsidRDefault="00E44D77" w:rsidP="00AD386F">
            <w:pPr>
              <w:rPr>
                <w:b/>
              </w:rPr>
            </w:pPr>
            <w:r>
              <w:rPr>
                <w:b/>
              </w:rPr>
              <w:t xml:space="preserve">Development </w:t>
            </w:r>
            <w:r w:rsidR="00090F17" w:rsidRPr="001158DA">
              <w:rPr>
                <w:b/>
              </w:rPr>
              <w:t>Sources &amp; Uses</w:t>
            </w:r>
            <w:r w:rsidR="00E45B0D" w:rsidRPr="001158DA">
              <w:rPr>
                <w:b/>
              </w:rPr>
              <w:t xml:space="preserve"> </w:t>
            </w:r>
          </w:p>
        </w:tc>
        <w:tc>
          <w:tcPr>
            <w:tcW w:w="3784" w:type="dxa"/>
            <w:gridSpan w:val="2"/>
          </w:tcPr>
          <w:p w:rsidR="00E514BA" w:rsidRDefault="00E44D77" w:rsidP="00E44D77">
            <w:pPr>
              <w:rPr>
                <w:i/>
              </w:rPr>
            </w:pPr>
            <w:r>
              <w:rPr>
                <w:i/>
              </w:rPr>
              <w:t xml:space="preserve">Please submit the most updated Sources and Uses Document – may be a document prepared for the LIHTC investor or lender.  </w:t>
            </w:r>
          </w:p>
          <w:p w:rsidR="007828B1" w:rsidRDefault="007828B1" w:rsidP="00E44D77">
            <w:pPr>
              <w:rPr>
                <w:i/>
              </w:rPr>
            </w:pPr>
          </w:p>
          <w:p w:rsidR="007828B1" w:rsidRDefault="007828B1" w:rsidP="00E44D77">
            <w:pPr>
              <w:rPr>
                <w:i/>
              </w:rPr>
            </w:pPr>
          </w:p>
          <w:p w:rsidR="007828B1" w:rsidRDefault="007828B1" w:rsidP="00E44D77">
            <w:pPr>
              <w:rPr>
                <w:i/>
              </w:rPr>
            </w:pPr>
          </w:p>
          <w:p w:rsidR="007828B1" w:rsidRDefault="007828B1" w:rsidP="00E44D77">
            <w:pPr>
              <w:rPr>
                <w:i/>
              </w:rPr>
            </w:pPr>
          </w:p>
          <w:p w:rsidR="007828B1" w:rsidRDefault="007828B1" w:rsidP="00E44D77">
            <w:pPr>
              <w:rPr>
                <w:i/>
              </w:rPr>
            </w:pPr>
          </w:p>
          <w:p w:rsidR="007828B1" w:rsidRPr="001158DA" w:rsidRDefault="007828B1" w:rsidP="00E44D77">
            <w:pPr>
              <w:rPr>
                <w:i/>
              </w:rPr>
            </w:pPr>
          </w:p>
        </w:tc>
        <w:tc>
          <w:tcPr>
            <w:tcW w:w="2340" w:type="dxa"/>
          </w:tcPr>
          <w:p w:rsidR="00E45B0D" w:rsidRPr="001158DA" w:rsidRDefault="0040372B" w:rsidP="00AD386F">
            <w:sdt>
              <w:sdtPr>
                <w:id w:val="85593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>Yes</w:t>
            </w:r>
          </w:p>
          <w:p w:rsidR="00E45B0D" w:rsidRPr="001158DA" w:rsidRDefault="0040372B" w:rsidP="00AD386F">
            <w:sdt>
              <w:sdtPr>
                <w:id w:val="-391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>No</w:t>
            </w:r>
          </w:p>
        </w:tc>
      </w:tr>
      <w:tr w:rsidR="00090F17" w:rsidRPr="001158DA" w:rsidTr="00E74A11">
        <w:tc>
          <w:tcPr>
            <w:tcW w:w="558" w:type="dxa"/>
            <w:tcBorders>
              <w:bottom w:val="single" w:sz="4" w:space="0" w:color="auto"/>
            </w:tcBorders>
          </w:tcPr>
          <w:p w:rsidR="00090F17" w:rsidRPr="001158DA" w:rsidRDefault="00090F17" w:rsidP="00AD386F">
            <w:pPr>
              <w:jc w:val="center"/>
              <w:rPr>
                <w:b/>
              </w:rPr>
            </w:pPr>
            <w:r w:rsidRPr="001158DA">
              <w:rPr>
                <w:b/>
              </w:rPr>
              <w:lastRenderedPageBreak/>
              <w:t>8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:rsidR="00090F17" w:rsidRDefault="00090F17" w:rsidP="00AD386F">
            <w:pPr>
              <w:rPr>
                <w:b/>
              </w:rPr>
            </w:pPr>
            <w:r w:rsidRPr="001158DA">
              <w:rPr>
                <w:b/>
              </w:rPr>
              <w:t>Operating Pro Forma</w:t>
            </w:r>
          </w:p>
          <w:p w:rsidR="00864B53" w:rsidRPr="001158DA" w:rsidRDefault="00864B53" w:rsidP="00AD386F">
            <w:pPr>
              <w:rPr>
                <w:b/>
              </w:rPr>
            </w:pPr>
          </w:p>
        </w:tc>
        <w:tc>
          <w:tcPr>
            <w:tcW w:w="3784" w:type="dxa"/>
            <w:gridSpan w:val="2"/>
            <w:tcBorders>
              <w:bottom w:val="single" w:sz="4" w:space="0" w:color="auto"/>
            </w:tcBorders>
          </w:tcPr>
          <w:p w:rsidR="001158DA" w:rsidRPr="001158DA" w:rsidRDefault="00E44D77" w:rsidP="00E44D77">
            <w:pPr>
              <w:rPr>
                <w:i/>
              </w:rPr>
            </w:pPr>
            <w:r>
              <w:rPr>
                <w:i/>
              </w:rPr>
              <w:t xml:space="preserve">Please submit the most updated Operating pro forma – may be a document prepared for the LIHTC investor or lender.  </w:t>
            </w:r>
            <w:r w:rsidR="001158DA" w:rsidRPr="001158DA">
              <w:rPr>
                <w:i/>
              </w:rPr>
              <w:t>Must include the RAD rents as reflected in the RAD CHAP (or amended CHAP) as well as any other sources of income &amp; relevant expenses.</w:t>
            </w:r>
            <w:r w:rsidR="00864B53">
              <w:t xml:space="preserve"> </w:t>
            </w:r>
            <w:r w:rsidR="00864B53" w:rsidRPr="00864B53">
              <w:rPr>
                <w:i/>
              </w:rPr>
              <w:t>(Note: If PILOT will continue, submit supporting legal opinion</w:t>
            </w:r>
            <w:r w:rsidR="00864B53">
              <w:rPr>
                <w:i/>
              </w:rPr>
              <w:t xml:space="preserve"> as required by RAD Notice</w:t>
            </w:r>
            <w:r w:rsidR="00864B53" w:rsidRPr="00864B53">
              <w:rPr>
                <w:i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90F17" w:rsidRPr="001158DA" w:rsidRDefault="0040372B" w:rsidP="00090F17">
            <w:sdt>
              <w:sdtPr>
                <w:id w:val="-88818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F17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F17" w:rsidRPr="001158DA">
              <w:t>Yes</w:t>
            </w:r>
          </w:p>
          <w:p w:rsidR="00090F17" w:rsidRPr="001158DA" w:rsidRDefault="0040372B" w:rsidP="001158DA">
            <w:sdt>
              <w:sdtPr>
                <w:id w:val="7887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F17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F17" w:rsidRPr="001158DA">
              <w:t>No</w:t>
            </w:r>
          </w:p>
        </w:tc>
      </w:tr>
      <w:tr w:rsidR="001158DA" w:rsidRPr="001158DA" w:rsidTr="00E74A11">
        <w:tc>
          <w:tcPr>
            <w:tcW w:w="558" w:type="dxa"/>
            <w:tcBorders>
              <w:bottom w:val="single" w:sz="4" w:space="0" w:color="auto"/>
            </w:tcBorders>
          </w:tcPr>
          <w:p w:rsidR="001158DA" w:rsidRPr="001158DA" w:rsidRDefault="001158DA" w:rsidP="00F57D08">
            <w:pPr>
              <w:jc w:val="center"/>
              <w:rPr>
                <w:b/>
              </w:rPr>
            </w:pPr>
            <w:r w:rsidRPr="001158DA">
              <w:rPr>
                <w:b/>
              </w:rPr>
              <w:t>9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:rsidR="001158DA" w:rsidRPr="001158DA" w:rsidRDefault="001158DA" w:rsidP="00F57D08">
            <w:pPr>
              <w:rPr>
                <w:b/>
              </w:rPr>
            </w:pPr>
            <w:r w:rsidRPr="001158DA">
              <w:rPr>
                <w:b/>
              </w:rPr>
              <w:t xml:space="preserve">Copy of Approved Subsidy Layering Review Completed by Housing Finance Agency  </w:t>
            </w:r>
            <w:r w:rsidRPr="001158DA">
              <w:rPr>
                <w:b/>
                <w:u w:val="single"/>
              </w:rPr>
              <w:t>OR</w:t>
            </w:r>
            <w:r w:rsidRPr="001158DA">
              <w:rPr>
                <w:b/>
              </w:rPr>
              <w:t xml:space="preserve"> Request for HUD to perform Subsidy Layering Review</w:t>
            </w:r>
          </w:p>
        </w:tc>
        <w:tc>
          <w:tcPr>
            <w:tcW w:w="3784" w:type="dxa"/>
            <w:gridSpan w:val="2"/>
            <w:tcBorders>
              <w:bottom w:val="single" w:sz="4" w:space="0" w:color="auto"/>
            </w:tcBorders>
          </w:tcPr>
          <w:p w:rsidR="001158DA" w:rsidRPr="001158DA" w:rsidRDefault="001158DA" w:rsidP="00F57D08">
            <w:pPr>
              <w:rPr>
                <w:i/>
              </w:rPr>
            </w:pPr>
            <w:r w:rsidRPr="001158DA">
              <w:rPr>
                <w:i/>
              </w:rPr>
              <w:t>If HFA is not willing or able to perform Subsidy Layering Review, HUD will perform the review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158DA" w:rsidRPr="001158DA" w:rsidRDefault="0040372B" w:rsidP="00F57D08">
            <w:sdt>
              <w:sdtPr>
                <w:id w:val="-168265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DA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8DA" w:rsidRPr="001158DA">
              <w:t>Evidence of HFA Approval of Subsidy Layering Review included</w:t>
            </w:r>
          </w:p>
          <w:p w:rsidR="001158DA" w:rsidRPr="001158DA" w:rsidRDefault="0040372B" w:rsidP="00F57D08">
            <w:sdt>
              <w:sdtPr>
                <w:id w:val="81808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DA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8DA" w:rsidRPr="001158DA">
              <w:t xml:space="preserve"> No SLR completed – requesting HUD to perform SLR</w:t>
            </w:r>
          </w:p>
        </w:tc>
      </w:tr>
      <w:tr w:rsidR="00243492" w:rsidRPr="001158DA" w:rsidTr="00E74A11">
        <w:tc>
          <w:tcPr>
            <w:tcW w:w="10638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:rsidR="00243492" w:rsidRDefault="00E44D77" w:rsidP="007E653C">
            <w:pPr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="007828B1" w:rsidRPr="007828B1">
              <w:rPr>
                <w:b/>
                <w:sz w:val="24"/>
                <w:szCs w:val="24"/>
              </w:rPr>
              <w:t>P</w:t>
            </w:r>
            <w:r w:rsidR="00E74A11" w:rsidRPr="005A41D7">
              <w:rPr>
                <w:b/>
                <w:sz w:val="24"/>
                <w:szCs w:val="24"/>
              </w:rPr>
              <w:t xml:space="preserve">art 2: </w:t>
            </w:r>
            <w:r w:rsidR="001158DA" w:rsidRPr="005A41D7">
              <w:rPr>
                <w:b/>
                <w:sz w:val="24"/>
                <w:szCs w:val="24"/>
              </w:rPr>
              <w:t>Administrative Program Requirements</w:t>
            </w:r>
          </w:p>
          <w:p w:rsidR="005A41D7" w:rsidRPr="005A41D7" w:rsidRDefault="005A41D7" w:rsidP="007E65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B0D" w:rsidRPr="001158DA" w:rsidTr="001158DA">
        <w:tc>
          <w:tcPr>
            <w:tcW w:w="558" w:type="dxa"/>
          </w:tcPr>
          <w:p w:rsidR="00E45B0D" w:rsidRPr="001158DA" w:rsidRDefault="001158DA" w:rsidP="00AD386F">
            <w:pPr>
              <w:jc w:val="center"/>
              <w:rPr>
                <w:b/>
              </w:rPr>
            </w:pPr>
            <w:r w:rsidRPr="001158DA">
              <w:rPr>
                <w:b/>
              </w:rPr>
              <w:t xml:space="preserve"> 10</w:t>
            </w:r>
          </w:p>
        </w:tc>
        <w:tc>
          <w:tcPr>
            <w:tcW w:w="3956" w:type="dxa"/>
          </w:tcPr>
          <w:p w:rsidR="00E45B0D" w:rsidRPr="001158DA" w:rsidRDefault="00E45B0D" w:rsidP="00AD386F">
            <w:pPr>
              <w:rPr>
                <w:b/>
              </w:rPr>
            </w:pPr>
            <w:r w:rsidRPr="001158DA">
              <w:rPr>
                <w:b/>
              </w:rPr>
              <w:t>Screenshot showing Evidence of Initial PIC Inventory Removal</w:t>
            </w:r>
          </w:p>
        </w:tc>
        <w:tc>
          <w:tcPr>
            <w:tcW w:w="3784" w:type="dxa"/>
            <w:gridSpan w:val="2"/>
          </w:tcPr>
          <w:p w:rsidR="00E45B0D" w:rsidRPr="001158DA" w:rsidRDefault="00E45B0D" w:rsidP="00AD386F">
            <w:pPr>
              <w:rPr>
                <w:i/>
              </w:rPr>
            </w:pPr>
            <w:r w:rsidRPr="001158DA">
              <w:rPr>
                <w:i/>
              </w:rPr>
              <w:t xml:space="preserve">See RAD PIC Inventory Removal Instructions on </w:t>
            </w:r>
            <w:hyperlink r:id="rId13" w:history="1">
              <w:r w:rsidRPr="001158DA">
                <w:rPr>
                  <w:rStyle w:val="Hyperlink"/>
                  <w:i/>
                </w:rPr>
                <w:t>www.radresource.net</w:t>
              </w:r>
            </w:hyperlink>
          </w:p>
        </w:tc>
        <w:tc>
          <w:tcPr>
            <w:tcW w:w="2340" w:type="dxa"/>
          </w:tcPr>
          <w:p w:rsidR="00E45B0D" w:rsidRPr="001158DA" w:rsidRDefault="0040372B" w:rsidP="00AD386F">
            <w:sdt>
              <w:sdtPr>
                <w:id w:val="-162522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>Yes</w:t>
            </w:r>
          </w:p>
          <w:p w:rsidR="00E45B0D" w:rsidRPr="001158DA" w:rsidRDefault="0040372B" w:rsidP="00AD386F">
            <w:sdt>
              <w:sdtPr>
                <w:id w:val="9554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>No</w:t>
            </w:r>
          </w:p>
        </w:tc>
      </w:tr>
      <w:tr w:rsidR="00E45B0D" w:rsidRPr="001158DA" w:rsidTr="001158DA">
        <w:tc>
          <w:tcPr>
            <w:tcW w:w="558" w:type="dxa"/>
          </w:tcPr>
          <w:p w:rsidR="00E45B0D" w:rsidRPr="001158DA" w:rsidRDefault="001158DA" w:rsidP="000A7353">
            <w:pPr>
              <w:jc w:val="center"/>
              <w:rPr>
                <w:b/>
              </w:rPr>
            </w:pPr>
            <w:r w:rsidRPr="001158DA">
              <w:rPr>
                <w:b/>
              </w:rPr>
              <w:t>11</w:t>
            </w:r>
          </w:p>
        </w:tc>
        <w:tc>
          <w:tcPr>
            <w:tcW w:w="3956" w:type="dxa"/>
          </w:tcPr>
          <w:p w:rsidR="00E45B0D" w:rsidRPr="001158DA" w:rsidRDefault="00E45B0D" w:rsidP="006B5875">
            <w:pPr>
              <w:rPr>
                <w:b/>
              </w:rPr>
            </w:pPr>
            <w:r w:rsidRPr="001158DA">
              <w:rPr>
                <w:b/>
              </w:rPr>
              <w:t xml:space="preserve">Evidence of Submission </w:t>
            </w:r>
            <w:r w:rsidRPr="001158DA">
              <w:rPr>
                <w:b/>
                <w:u w:val="single"/>
              </w:rPr>
              <w:t>or</w:t>
            </w:r>
            <w:r w:rsidRPr="001158DA">
              <w:rPr>
                <w:b/>
              </w:rPr>
              <w:t xml:space="preserve"> Approval of Significant Amendment to the PHA Annual Plan</w:t>
            </w:r>
          </w:p>
          <w:p w:rsidR="00E45B0D" w:rsidRPr="001158DA" w:rsidRDefault="00E45B0D" w:rsidP="004703FE">
            <w:pPr>
              <w:pStyle w:val="ListParagraph"/>
              <w:numPr>
                <w:ilvl w:val="0"/>
                <w:numId w:val="9"/>
              </w:numPr>
            </w:pPr>
            <w:r w:rsidRPr="001158DA">
              <w:t xml:space="preserve">If it has not yet been approved by HUD, PHA should submit evidence that the Significant Amendment was submitted to </w:t>
            </w:r>
            <w:hyperlink r:id="rId14" w:history="1">
              <w:r w:rsidRPr="001158DA">
                <w:rPr>
                  <w:rStyle w:val="Hyperlink"/>
                </w:rPr>
                <w:t>RADPHAPlans@hud.gov</w:t>
              </w:r>
            </w:hyperlink>
            <w:r w:rsidRPr="001158DA">
              <w:t xml:space="preserve"> </w:t>
            </w:r>
          </w:p>
          <w:p w:rsidR="00E45B0D" w:rsidRPr="001158DA" w:rsidRDefault="00E45B0D" w:rsidP="004703FE">
            <w:pPr>
              <w:pStyle w:val="ListParagraph"/>
              <w:numPr>
                <w:ilvl w:val="0"/>
                <w:numId w:val="9"/>
              </w:numPr>
            </w:pPr>
            <w:r w:rsidRPr="001158DA">
              <w:t>If the Significant Amendment has been approved by HUD, submit evidence of HUD Approval</w:t>
            </w:r>
          </w:p>
        </w:tc>
        <w:tc>
          <w:tcPr>
            <w:tcW w:w="3784" w:type="dxa"/>
            <w:gridSpan w:val="2"/>
          </w:tcPr>
          <w:p w:rsidR="00E45B0D" w:rsidRPr="001158DA" w:rsidRDefault="00E45B0D" w:rsidP="00B136F0">
            <w:pPr>
              <w:rPr>
                <w:i/>
              </w:rPr>
            </w:pPr>
            <w:r w:rsidRPr="001158DA">
              <w:rPr>
                <w:i/>
              </w:rPr>
              <w:t xml:space="preserve">See Sample Amendment on </w:t>
            </w:r>
            <w:hyperlink r:id="rId15" w:history="1">
              <w:r w:rsidRPr="001158DA">
                <w:rPr>
                  <w:rStyle w:val="Hyperlink"/>
                  <w:i/>
                </w:rPr>
                <w:t>www.radresource.net</w:t>
              </w:r>
            </w:hyperlink>
            <w:r w:rsidRPr="001158DA">
              <w:rPr>
                <w:i/>
              </w:rPr>
              <w:t>; note that 45 days tenant notice required prior to submission</w:t>
            </w:r>
          </w:p>
        </w:tc>
        <w:tc>
          <w:tcPr>
            <w:tcW w:w="2340" w:type="dxa"/>
          </w:tcPr>
          <w:p w:rsidR="00E45B0D" w:rsidRPr="001158DA" w:rsidRDefault="0040372B" w:rsidP="006B5875">
            <w:sdt>
              <w:sdtPr>
                <w:id w:val="77344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 xml:space="preserve"> Submitted to HUD, awaiting approval (evidence of submission included)</w:t>
            </w:r>
          </w:p>
          <w:p w:rsidR="00E45B0D" w:rsidRPr="001158DA" w:rsidRDefault="0040372B" w:rsidP="004703FE">
            <w:sdt>
              <w:sdtPr>
                <w:id w:val="-157851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 xml:space="preserve"> Submitted to HUD &amp; approved (evidence of approval included)</w:t>
            </w:r>
          </w:p>
        </w:tc>
      </w:tr>
      <w:tr w:rsidR="00E45B0D" w:rsidRPr="001158DA" w:rsidTr="001158DA">
        <w:tc>
          <w:tcPr>
            <w:tcW w:w="558" w:type="dxa"/>
          </w:tcPr>
          <w:p w:rsidR="00E45B0D" w:rsidRPr="001158DA" w:rsidRDefault="001158DA" w:rsidP="00862EFC">
            <w:pPr>
              <w:jc w:val="center"/>
              <w:rPr>
                <w:b/>
              </w:rPr>
            </w:pPr>
            <w:r w:rsidRPr="001158DA">
              <w:rPr>
                <w:b/>
              </w:rPr>
              <w:t>12</w:t>
            </w:r>
          </w:p>
        </w:tc>
        <w:tc>
          <w:tcPr>
            <w:tcW w:w="3956" w:type="dxa"/>
          </w:tcPr>
          <w:p w:rsidR="00E45B0D" w:rsidRPr="001158DA" w:rsidRDefault="00E45B0D" w:rsidP="00E74A11">
            <w:r w:rsidRPr="001158DA">
              <w:rPr>
                <w:b/>
              </w:rPr>
              <w:t>RAD Accessibility and Relocation Checklist</w:t>
            </w:r>
          </w:p>
        </w:tc>
        <w:tc>
          <w:tcPr>
            <w:tcW w:w="3784" w:type="dxa"/>
            <w:gridSpan w:val="2"/>
          </w:tcPr>
          <w:p w:rsidR="00E45B0D" w:rsidRPr="001158DA" w:rsidRDefault="00E45B0D" w:rsidP="00E74A11">
            <w:pPr>
              <w:rPr>
                <w:i/>
              </w:rPr>
            </w:pPr>
            <w:r w:rsidRPr="001158DA">
              <w:rPr>
                <w:i/>
              </w:rPr>
              <w:t xml:space="preserve">Checklist available on </w:t>
            </w:r>
            <w:hyperlink r:id="rId16" w:history="1">
              <w:r w:rsidRPr="001158DA">
                <w:rPr>
                  <w:rStyle w:val="Hyperlink"/>
                  <w:i/>
                </w:rPr>
                <w:t>www.radresource.net</w:t>
              </w:r>
            </w:hyperlink>
            <w:r w:rsidRPr="001158DA">
              <w:rPr>
                <w:i/>
              </w:rPr>
              <w:t xml:space="preserve"> </w:t>
            </w:r>
          </w:p>
        </w:tc>
        <w:tc>
          <w:tcPr>
            <w:tcW w:w="2340" w:type="dxa"/>
          </w:tcPr>
          <w:p w:rsidR="001158DA" w:rsidRPr="001158DA" w:rsidRDefault="0040372B" w:rsidP="001158DA">
            <w:sdt>
              <w:sdtPr>
                <w:id w:val="-485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DA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8DA" w:rsidRPr="001158DA">
              <w:t>Yes</w:t>
            </w:r>
          </w:p>
          <w:p w:rsidR="00E45B0D" w:rsidRPr="001158DA" w:rsidRDefault="0040372B" w:rsidP="001158DA">
            <w:sdt>
              <w:sdtPr>
                <w:id w:val="135691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DA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8DA" w:rsidRPr="001158DA">
              <w:t>No</w:t>
            </w:r>
          </w:p>
        </w:tc>
      </w:tr>
      <w:tr w:rsidR="00E45B0D" w:rsidRPr="001158DA" w:rsidTr="001158DA">
        <w:tc>
          <w:tcPr>
            <w:tcW w:w="558" w:type="dxa"/>
          </w:tcPr>
          <w:p w:rsidR="00E45B0D" w:rsidRPr="001158DA" w:rsidRDefault="001158DA" w:rsidP="006431EC">
            <w:pPr>
              <w:jc w:val="center"/>
              <w:rPr>
                <w:b/>
              </w:rPr>
            </w:pPr>
            <w:r w:rsidRPr="001158DA">
              <w:rPr>
                <w:b/>
              </w:rPr>
              <w:t>13</w:t>
            </w:r>
          </w:p>
        </w:tc>
        <w:tc>
          <w:tcPr>
            <w:tcW w:w="3956" w:type="dxa"/>
          </w:tcPr>
          <w:p w:rsidR="00E45B0D" w:rsidRPr="001158DA" w:rsidRDefault="00E45B0D" w:rsidP="006431EC">
            <w:pPr>
              <w:rPr>
                <w:b/>
              </w:rPr>
            </w:pPr>
            <w:r w:rsidRPr="001158DA">
              <w:rPr>
                <w:b/>
              </w:rPr>
              <w:t>PBRA only: APPS/2530 Submission(s) for all applicable entities and individuals</w:t>
            </w:r>
          </w:p>
        </w:tc>
        <w:tc>
          <w:tcPr>
            <w:tcW w:w="3784" w:type="dxa"/>
            <w:gridSpan w:val="2"/>
          </w:tcPr>
          <w:p w:rsidR="00E45B0D" w:rsidRPr="001158DA" w:rsidRDefault="00E45B0D" w:rsidP="006431EC">
            <w:pPr>
              <w:rPr>
                <w:i/>
              </w:rPr>
            </w:pPr>
            <w:r w:rsidRPr="001158DA">
              <w:rPr>
                <w:i/>
              </w:rPr>
              <w:t xml:space="preserve">See RAD 2530 Matrix on </w:t>
            </w:r>
            <w:hyperlink r:id="rId17" w:history="1">
              <w:r w:rsidRPr="001158DA">
                <w:rPr>
                  <w:rStyle w:val="Hyperlink"/>
                  <w:i/>
                </w:rPr>
                <w:t>www.radresource.net</w:t>
              </w:r>
            </w:hyperlink>
            <w:r w:rsidRPr="001158DA">
              <w:rPr>
                <w:i/>
              </w:rPr>
              <w:t xml:space="preserve"> </w:t>
            </w:r>
          </w:p>
        </w:tc>
        <w:tc>
          <w:tcPr>
            <w:tcW w:w="2340" w:type="dxa"/>
          </w:tcPr>
          <w:p w:rsidR="00E45B0D" w:rsidRPr="001158DA" w:rsidRDefault="0040372B" w:rsidP="006431EC">
            <w:sdt>
              <w:sdtPr>
                <w:id w:val="-121249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>Yes</w:t>
            </w:r>
          </w:p>
          <w:p w:rsidR="00E45B0D" w:rsidRPr="001158DA" w:rsidRDefault="0040372B" w:rsidP="006431EC">
            <w:sdt>
              <w:sdtPr>
                <w:id w:val="36487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>No</w:t>
            </w:r>
          </w:p>
          <w:p w:rsidR="00E45B0D" w:rsidRPr="001158DA" w:rsidRDefault="0040372B" w:rsidP="001158DA">
            <w:sdt>
              <w:sdtPr>
                <w:id w:val="19024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0D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B0D" w:rsidRPr="001158DA">
              <w:t>N/A – PBV</w:t>
            </w:r>
          </w:p>
        </w:tc>
      </w:tr>
      <w:tr w:rsidR="001158DA" w:rsidRPr="001158DA" w:rsidTr="001158DA">
        <w:tc>
          <w:tcPr>
            <w:tcW w:w="558" w:type="dxa"/>
          </w:tcPr>
          <w:p w:rsidR="001158DA" w:rsidRPr="001158DA" w:rsidRDefault="001158DA" w:rsidP="006431EC">
            <w:pPr>
              <w:jc w:val="center"/>
              <w:rPr>
                <w:b/>
              </w:rPr>
            </w:pPr>
            <w:r w:rsidRPr="001158DA">
              <w:rPr>
                <w:b/>
              </w:rPr>
              <w:t>14</w:t>
            </w:r>
          </w:p>
        </w:tc>
        <w:tc>
          <w:tcPr>
            <w:tcW w:w="3956" w:type="dxa"/>
          </w:tcPr>
          <w:p w:rsidR="001158DA" w:rsidRPr="001158DA" w:rsidRDefault="001158DA" w:rsidP="006431EC">
            <w:pPr>
              <w:rPr>
                <w:b/>
              </w:rPr>
            </w:pPr>
            <w:r w:rsidRPr="001158DA">
              <w:rPr>
                <w:b/>
              </w:rPr>
              <w:t>Evidence of Section 18 Approval (if applicable)</w:t>
            </w:r>
          </w:p>
        </w:tc>
        <w:tc>
          <w:tcPr>
            <w:tcW w:w="3784" w:type="dxa"/>
            <w:gridSpan w:val="2"/>
          </w:tcPr>
          <w:p w:rsidR="001158DA" w:rsidRPr="001158DA" w:rsidRDefault="001158DA" w:rsidP="006431EC">
            <w:pPr>
              <w:rPr>
                <w:i/>
              </w:rPr>
            </w:pPr>
            <w:r w:rsidRPr="001158DA">
              <w:rPr>
                <w:i/>
              </w:rPr>
              <w:t>If your RAD conversion involves Section 18 approval, submit evidence of HUD approval.</w:t>
            </w:r>
          </w:p>
        </w:tc>
        <w:tc>
          <w:tcPr>
            <w:tcW w:w="2340" w:type="dxa"/>
          </w:tcPr>
          <w:p w:rsidR="001158DA" w:rsidRPr="001158DA" w:rsidRDefault="0040372B" w:rsidP="001158DA">
            <w:sdt>
              <w:sdtPr>
                <w:id w:val="123566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DA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8DA" w:rsidRPr="001158DA">
              <w:t>Yes</w:t>
            </w:r>
          </w:p>
          <w:p w:rsidR="001158DA" w:rsidRPr="001158DA" w:rsidRDefault="0040372B" w:rsidP="001158DA">
            <w:sdt>
              <w:sdtPr>
                <w:id w:val="150986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DA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8DA" w:rsidRPr="001158DA">
              <w:t>No</w:t>
            </w:r>
          </w:p>
          <w:p w:rsidR="001158DA" w:rsidRPr="001158DA" w:rsidRDefault="0040372B" w:rsidP="001158DA">
            <w:sdt>
              <w:sdtPr>
                <w:id w:val="-46066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DA" w:rsidRPr="00115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58DA" w:rsidRPr="001158DA">
              <w:t>N/A</w:t>
            </w:r>
          </w:p>
        </w:tc>
      </w:tr>
    </w:tbl>
    <w:p w:rsidR="00862EFC" w:rsidRPr="00862EFC" w:rsidRDefault="00862EFC" w:rsidP="00862EFC">
      <w:pPr>
        <w:jc w:val="center"/>
        <w:rPr>
          <w:b/>
          <w:sz w:val="32"/>
          <w:szCs w:val="32"/>
        </w:rPr>
      </w:pPr>
    </w:p>
    <w:sectPr w:rsidR="00862EFC" w:rsidRPr="00862EFC" w:rsidSect="00E514BA">
      <w:headerReference w:type="default" r:id="rId18"/>
      <w:footerReference w:type="default" r:id="rId19"/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2B" w:rsidRDefault="0040372B" w:rsidP="00B97096">
      <w:pPr>
        <w:spacing w:after="0" w:line="240" w:lineRule="auto"/>
      </w:pPr>
      <w:r>
        <w:separator/>
      </w:r>
    </w:p>
  </w:endnote>
  <w:endnote w:type="continuationSeparator" w:id="0">
    <w:p w:rsidR="0040372B" w:rsidRDefault="0040372B" w:rsidP="00B9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409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28B1" w:rsidRDefault="004F6A03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3ED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3E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4F6A03" w:rsidRDefault="007828B1">
            <w:pPr>
              <w:pStyle w:val="Footer"/>
              <w:jc w:val="right"/>
            </w:pPr>
            <w:r w:rsidRPr="007828B1">
              <w:rPr>
                <w:bCs/>
                <w:sz w:val="16"/>
                <w:szCs w:val="16"/>
              </w:rPr>
              <w:t>v0</w:t>
            </w:r>
            <w:r w:rsidR="00743EDE">
              <w:rPr>
                <w:bCs/>
                <w:sz w:val="16"/>
                <w:szCs w:val="16"/>
              </w:rPr>
              <w:t>8</w:t>
            </w:r>
            <w:r w:rsidRPr="007828B1">
              <w:rPr>
                <w:bCs/>
                <w:sz w:val="16"/>
                <w:szCs w:val="16"/>
              </w:rPr>
              <w:t>0</w:t>
            </w:r>
            <w:r w:rsidR="00743EDE">
              <w:rPr>
                <w:bCs/>
                <w:sz w:val="16"/>
                <w:szCs w:val="16"/>
              </w:rPr>
              <w:t>7</w:t>
            </w:r>
            <w:r w:rsidRPr="007828B1">
              <w:rPr>
                <w:bCs/>
                <w:sz w:val="16"/>
                <w:szCs w:val="16"/>
              </w:rPr>
              <w:t>14</w:t>
            </w:r>
          </w:p>
        </w:sdtContent>
      </w:sdt>
    </w:sdtContent>
  </w:sdt>
  <w:p w:rsidR="004F6A03" w:rsidRDefault="004F6A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2B" w:rsidRDefault="0040372B" w:rsidP="00B97096">
      <w:pPr>
        <w:spacing w:after="0" w:line="240" w:lineRule="auto"/>
      </w:pPr>
      <w:r>
        <w:separator/>
      </w:r>
    </w:p>
  </w:footnote>
  <w:footnote w:type="continuationSeparator" w:id="0">
    <w:p w:rsidR="0040372B" w:rsidRDefault="0040372B" w:rsidP="00B9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366" w:rsidRDefault="00B97096">
    <w:pPr>
      <w:pStyle w:val="Header"/>
      <w:rPr>
        <w:b/>
      </w:rPr>
    </w:pPr>
    <w:r w:rsidRPr="00DD5366">
      <w:rPr>
        <w:b/>
      </w:rPr>
      <w:t>Rental Assistance Demonstration</w:t>
    </w:r>
    <w:r w:rsidR="00DD5366">
      <w:rPr>
        <w:b/>
      </w:rPr>
      <w:tab/>
      <w:t xml:space="preserve">                                       </w:t>
    </w:r>
  </w:p>
  <w:p w:rsidR="00B97096" w:rsidRPr="00DD5366" w:rsidRDefault="00B97096">
    <w:pPr>
      <w:pStyle w:val="Header"/>
      <w:rPr>
        <w:b/>
      </w:rPr>
    </w:pPr>
    <w:r w:rsidRPr="00DD5366">
      <w:rPr>
        <w:b/>
      </w:rPr>
      <w:t xml:space="preserve">Non-FHA LIHTC </w:t>
    </w:r>
    <w:r w:rsidR="00DD5366">
      <w:rPr>
        <w:b/>
      </w:rPr>
      <w:t xml:space="preserve">Fast Track: </w:t>
    </w:r>
    <w:r w:rsidR="003721D7">
      <w:rPr>
        <w:b/>
      </w:rPr>
      <w:t>Submi</w:t>
    </w:r>
    <w:r w:rsidR="00642F7A">
      <w:rPr>
        <w:b/>
      </w:rPr>
      <w:t>ssion</w:t>
    </w:r>
    <w:r w:rsidR="003721D7">
      <w:rPr>
        <w:b/>
      </w:rPr>
      <w:t xml:space="preserve"> Checklist</w:t>
    </w:r>
    <w:r w:rsidR="00DD5366">
      <w:rPr>
        <w:b/>
      </w:rPr>
      <w:t xml:space="preserve"> </w:t>
    </w:r>
    <w:r w:rsidR="00092D94">
      <w:rPr>
        <w:b/>
      </w:rPr>
      <w:t>for PHAs</w:t>
    </w:r>
  </w:p>
  <w:p w:rsidR="00B97096" w:rsidRDefault="00B97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CDD"/>
    <w:multiLevelType w:val="hybridMultilevel"/>
    <w:tmpl w:val="8C9A8A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04606"/>
    <w:multiLevelType w:val="hybridMultilevel"/>
    <w:tmpl w:val="34C845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20530"/>
    <w:multiLevelType w:val="hybridMultilevel"/>
    <w:tmpl w:val="507AC1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56FF3"/>
    <w:multiLevelType w:val="hybridMultilevel"/>
    <w:tmpl w:val="1404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50E43"/>
    <w:multiLevelType w:val="hybridMultilevel"/>
    <w:tmpl w:val="F84E69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F85EC6"/>
    <w:multiLevelType w:val="hybridMultilevel"/>
    <w:tmpl w:val="CD96AD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E5388D"/>
    <w:multiLevelType w:val="hybridMultilevel"/>
    <w:tmpl w:val="51E64A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5C0867"/>
    <w:multiLevelType w:val="hybridMultilevel"/>
    <w:tmpl w:val="DCB477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60392D"/>
    <w:multiLevelType w:val="hybridMultilevel"/>
    <w:tmpl w:val="E0A242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592D9D"/>
    <w:multiLevelType w:val="hybridMultilevel"/>
    <w:tmpl w:val="596ABB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207FB2"/>
    <w:multiLevelType w:val="hybridMultilevel"/>
    <w:tmpl w:val="CA3AD1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D02949"/>
    <w:multiLevelType w:val="hybridMultilevel"/>
    <w:tmpl w:val="E460C8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96"/>
    <w:rsid w:val="000532E6"/>
    <w:rsid w:val="00090F17"/>
    <w:rsid w:val="00092D94"/>
    <w:rsid w:val="000A7353"/>
    <w:rsid w:val="001158DA"/>
    <w:rsid w:val="00132350"/>
    <w:rsid w:val="00195C3A"/>
    <w:rsid w:val="001B11EB"/>
    <w:rsid w:val="001D4816"/>
    <w:rsid w:val="001E5D1B"/>
    <w:rsid w:val="0022258F"/>
    <w:rsid w:val="0022276F"/>
    <w:rsid w:val="002360F5"/>
    <w:rsid w:val="00243492"/>
    <w:rsid w:val="0034210B"/>
    <w:rsid w:val="00342D7B"/>
    <w:rsid w:val="003721D7"/>
    <w:rsid w:val="003F74F4"/>
    <w:rsid w:val="0040372B"/>
    <w:rsid w:val="00423C03"/>
    <w:rsid w:val="00442284"/>
    <w:rsid w:val="004703FE"/>
    <w:rsid w:val="004C3B6F"/>
    <w:rsid w:val="004F6868"/>
    <w:rsid w:val="004F6A03"/>
    <w:rsid w:val="005220D3"/>
    <w:rsid w:val="005A41D7"/>
    <w:rsid w:val="005E2C47"/>
    <w:rsid w:val="00642F7A"/>
    <w:rsid w:val="00681617"/>
    <w:rsid w:val="006B5875"/>
    <w:rsid w:val="00743EDE"/>
    <w:rsid w:val="0078037C"/>
    <w:rsid w:val="007828B1"/>
    <w:rsid w:val="00786755"/>
    <w:rsid w:val="007C7427"/>
    <w:rsid w:val="007D03FB"/>
    <w:rsid w:val="007E653C"/>
    <w:rsid w:val="00816FB7"/>
    <w:rsid w:val="0085396F"/>
    <w:rsid w:val="00862EFC"/>
    <w:rsid w:val="00864B53"/>
    <w:rsid w:val="008E0B07"/>
    <w:rsid w:val="008F359D"/>
    <w:rsid w:val="00946428"/>
    <w:rsid w:val="009C44EE"/>
    <w:rsid w:val="00A7742C"/>
    <w:rsid w:val="00B031C5"/>
    <w:rsid w:val="00B136F0"/>
    <w:rsid w:val="00B6591C"/>
    <w:rsid w:val="00B700AA"/>
    <w:rsid w:val="00B97096"/>
    <w:rsid w:val="00BF0092"/>
    <w:rsid w:val="00C02534"/>
    <w:rsid w:val="00D11BDD"/>
    <w:rsid w:val="00D57B28"/>
    <w:rsid w:val="00D9406C"/>
    <w:rsid w:val="00D95BA8"/>
    <w:rsid w:val="00DD5366"/>
    <w:rsid w:val="00E4148D"/>
    <w:rsid w:val="00E44D77"/>
    <w:rsid w:val="00E45B0D"/>
    <w:rsid w:val="00E514BA"/>
    <w:rsid w:val="00E52C42"/>
    <w:rsid w:val="00E74A11"/>
    <w:rsid w:val="00E86FC5"/>
    <w:rsid w:val="00EF1985"/>
    <w:rsid w:val="00F00C09"/>
    <w:rsid w:val="00F4065A"/>
    <w:rsid w:val="00F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96"/>
  </w:style>
  <w:style w:type="paragraph" w:styleId="Footer">
    <w:name w:val="footer"/>
    <w:basedOn w:val="Normal"/>
    <w:link w:val="FooterChar"/>
    <w:uiPriority w:val="99"/>
    <w:unhideWhenUsed/>
    <w:rsid w:val="00B9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96"/>
  </w:style>
  <w:style w:type="paragraph" w:styleId="BalloonText">
    <w:name w:val="Balloon Text"/>
    <w:basedOn w:val="Normal"/>
    <w:link w:val="BalloonTextChar"/>
    <w:uiPriority w:val="99"/>
    <w:semiHidden/>
    <w:unhideWhenUsed/>
    <w:rsid w:val="00B9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0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536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136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96"/>
  </w:style>
  <w:style w:type="paragraph" w:styleId="Footer">
    <w:name w:val="footer"/>
    <w:basedOn w:val="Normal"/>
    <w:link w:val="FooterChar"/>
    <w:uiPriority w:val="99"/>
    <w:unhideWhenUsed/>
    <w:rsid w:val="00B9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096"/>
  </w:style>
  <w:style w:type="paragraph" w:styleId="BalloonText">
    <w:name w:val="Balloon Text"/>
    <w:basedOn w:val="Normal"/>
    <w:link w:val="BalloonTextChar"/>
    <w:uiPriority w:val="99"/>
    <w:semiHidden/>
    <w:unhideWhenUsed/>
    <w:rsid w:val="00B9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0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536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13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adresource.ne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adresource.net" TargetMode="External"/><Relationship Id="rId17" Type="http://schemas.openxmlformats.org/officeDocument/2006/relationships/hyperlink" Target="http://www.radresource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dresource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dresource.net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://www.radresource.net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resourcedesk@radresource.net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adresource.net" TargetMode="External"/><Relationship Id="rId14" Type="http://schemas.openxmlformats.org/officeDocument/2006/relationships/hyperlink" Target="mailto:RADPHAPlans@hud.gov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1EDB258E28948BAD764AF50E2320F" ma:contentTypeVersion="6" ma:contentTypeDescription="Create a new document." ma:contentTypeScope="" ma:versionID="767f7561133a32522cdf459efec59671">
  <xsd:schema xmlns:xsd="http://www.w3.org/2001/XMLSchema" xmlns:xs="http://www.w3.org/2001/XMLSchema" xmlns:p="http://schemas.microsoft.com/office/2006/metadata/properties" xmlns:ns2="7cd0dbc2-973e-495b-a359-91823d63a60f" xmlns:ns3="94d6e143-f855-4c80-9836-33539cfe8bf6" targetNamespace="http://schemas.microsoft.com/office/2006/metadata/properties" ma:root="true" ma:fieldsID="3815c9b9c326cbc189868a4e0b5de46e" ns2:_="" ns3:_="">
    <xsd:import namespace="7cd0dbc2-973e-495b-a359-91823d63a60f"/>
    <xsd:import namespace="94d6e143-f855-4c80-9836-33539cfe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dbc2-973e-495b-a359-91823d63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e143-f855-4c80-9836-33539cfe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63FDA-781C-428E-AF2A-6D0CDF730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0456F-8051-4AC3-AD6F-F2302E7D56BB}"/>
</file>

<file path=customXml/itemProps3.xml><?xml version="1.0" encoding="utf-8"?>
<ds:datastoreItem xmlns:ds="http://schemas.openxmlformats.org/officeDocument/2006/customXml" ds:itemID="{A7B9159D-81AA-4250-962D-B91F7897CE64}"/>
</file>

<file path=customXml/itemProps4.xml><?xml version="1.0" encoding="utf-8"?>
<ds:datastoreItem xmlns:ds="http://schemas.openxmlformats.org/officeDocument/2006/customXml" ds:itemID="{D75FA4BE-1D10-4611-BB4C-BF550DECD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Sallada</dc:creator>
  <cp:lastModifiedBy>Liane Sallada</cp:lastModifiedBy>
  <cp:revision>2</cp:revision>
  <cp:lastPrinted>2014-05-30T20:47:00Z</cp:lastPrinted>
  <dcterms:created xsi:type="dcterms:W3CDTF">2014-08-07T18:41:00Z</dcterms:created>
  <dcterms:modified xsi:type="dcterms:W3CDTF">2014-08-07T18:41:00Z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0x010100D951EDB258E28948BAD764AF50E2320F</vt:lpwstr>
  </property>
</Properties>
</file>